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Decision Evidence Record</w:t>
      </w:r>
    </w:p>
    <w:p>
      <w:r>
        <w:t>Good advice leaves evidence. Use this record to connect the decision, assumptions, action, expected result, and review.</w:t>
      </w:r>
    </w:p>
    <w:p>
      <w:r>
        <w:rPr>
          <w:b/>
          <w:color w:val="10AEE8"/>
        </w:rPr>
        <w:t>Decision being considered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Known facts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Assumptions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Owner-controlled levers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Minimum cash floor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Lowest projected cash point and date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Failure trigger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Agreed response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Owner and due date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Expected operating response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Expected financial response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  <w:color w:val="10AEE8"/>
        </w:rPr>
        <w:t>Review date and evidence to compare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t>Cash Flow Mike | cashflowmike.com | Illustrative tool. Adapt it to the client and engagement.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